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C1A09" w14:textId="18D649AA" w:rsidR="00FB3437" w:rsidRPr="00FB3437" w:rsidRDefault="00FB3437" w:rsidP="00FB3437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FB3437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FB3437">
        <w:rPr>
          <w:rFonts w:ascii="TH SarabunPSK" w:hAnsi="TH SarabunPSK" w:cs="TH SarabunPSK" w:hint="cs"/>
          <w:b/>
          <w:bCs/>
          <w:sz w:val="40"/>
          <w:szCs w:val="40"/>
          <w:cs/>
        </w:rPr>
        <w:t>ศูนย์บริการทางวิชาการ</w:t>
      </w:r>
    </w:p>
    <w:p w14:paraId="1E4FB2F9" w14:textId="77777777" w:rsidR="00FB3437" w:rsidRPr="00FB3437" w:rsidRDefault="00FB3437" w:rsidP="00FB3437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FB3437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  <w:t xml:space="preserve">AUN-QA 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1989FAB1" w14:textId="77777777" w:rsidR="00CF4556" w:rsidRPr="00F649B7" w:rsidRDefault="00CF4556" w:rsidP="00CF4556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6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5 The competences of the support staff rendering student services are shown to be identified for recruitment and deployment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These competences are shown to be evaluated to ensure their continued relevance to stakeholders needs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Roles and relationships are shown to be well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-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  <w:t>defined to ensure smooth delivery of the services</w:t>
      </w:r>
      <w:r w:rsidRPr="00FB343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 (มี (1) การกำหนดสมรรถนะเพื่อการรับเข้าทำงานและโยกย้ายของบุคลากรสายสนับสนุนที่ปฏิบัติงานด้านการให้บริการผู้เรียน (ตามข้อ 6.1-6.4) โดยสมรรถนะที่กำหนดไว้นั้นต้องได้รับการประเมินเพื่อให้มั่นใจว่าบุคลากรสายสนับสนุนสามารถให้บริการที่ตอบสนองต่อความต้องการของผู้มีส่วนได้เสียหรือผู้รับบริการ รวมทั้ง (2) การกำหนดบทบาทและหน้าที่ความรับผิดชอบของบุคลากรสายวิชาการเพื่อสามารถให้บริการได้อย่างราบรื่น มีประสิทธิภาพ</w:t>
      </w:r>
      <w:r w:rsidRPr="00FB3437">
        <w:rPr>
          <w:rFonts w:ascii="TH SarabunPSK" w:eastAsia="Times New Roman" w:hAnsi="TH SarabunPSK" w:cs="TH SarabunPSK" w:hint="cs"/>
          <w:b/>
          <w:bCs/>
          <w:color w:val="212121"/>
          <w:sz w:val="32"/>
          <w:szCs w:val="32"/>
          <w:cs/>
        </w:rPr>
        <w:t>)</w:t>
      </w:r>
    </w:p>
    <w:p w14:paraId="5D630A0D" w14:textId="77777777" w:rsidR="00CF4556" w:rsidRPr="00F649B7" w:rsidRDefault="00CF4556" w:rsidP="00CF455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ศูนย์บริการทางวิชาการมีการกำหนดสมรรถนะเพื่อการรับเข้าทำงาน และโยกย้ายของบุคลากรสายสนับสนุนที่ปฏิบัติงานด้านการให้บริการโดยยึดถือตามแนวปฏิบัติของสำนักงานฝ่ายบุคคล โดยมีทักษะที่จำเป็นสำหรับบุคลากรสายสนับสนุนที่ปฏิบัติงานในภาพรวม ดังนี้</w:t>
      </w:r>
    </w:p>
    <w:p w14:paraId="3B8585F1" w14:textId="77777777" w:rsidR="00CF4556" w:rsidRPr="00F649B7" w:rsidRDefault="00CF4556" w:rsidP="00CF455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649B7">
        <w:rPr>
          <w:rFonts w:ascii="TH SarabunPSK" w:hAnsi="TH SarabunPSK" w:cs="TH SarabunPSK" w:hint="cs"/>
          <w:sz w:val="32"/>
          <w:szCs w:val="32"/>
        </w:rPr>
        <w:t>1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</w:t>
      </w:r>
      <w:r w:rsidRPr="00F649B7">
        <w:rPr>
          <w:rFonts w:ascii="TH SarabunPSK" w:hAnsi="TH SarabunPSK" w:cs="TH SarabunPSK" w:hint="cs"/>
          <w:cs/>
        </w:rPr>
        <w:t xml:space="preserve">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มีความรู้ความเข้าใจในการใช้เครื่องมืออุปกรณ์ (</w:t>
      </w:r>
      <w:r w:rsidRPr="00F649B7">
        <w:rPr>
          <w:rFonts w:ascii="TH SarabunPSK" w:hAnsi="TH SarabunPSK" w:cs="TH SarabunPSK" w:hint="cs"/>
          <w:sz w:val="32"/>
          <w:szCs w:val="32"/>
        </w:rPr>
        <w:t>Digital Tools for Work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C7033A3" w14:textId="77777777" w:rsidR="00CF4556" w:rsidRPr="00F649B7" w:rsidRDefault="00CF4556" w:rsidP="00CF455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649B7">
        <w:rPr>
          <w:rFonts w:ascii="TH SarabunPSK" w:hAnsi="TH SarabunPSK" w:cs="TH SarabunPSK" w:hint="cs"/>
          <w:sz w:val="32"/>
          <w:szCs w:val="32"/>
          <w:cs/>
        </w:rPr>
        <w:t>2. การรู้เท่าทันและบริหารจัดการสารสนเทศ (</w:t>
      </w:r>
      <w:r w:rsidRPr="00F649B7">
        <w:rPr>
          <w:rFonts w:ascii="TH SarabunPSK" w:hAnsi="TH SarabunPSK" w:cs="TH SarabunPSK" w:hint="cs"/>
          <w:sz w:val="32"/>
          <w:szCs w:val="32"/>
        </w:rPr>
        <w:t>Information &amp; Digital Literacy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</w:t>
      </w:r>
      <w:r w:rsidRPr="00F649B7">
        <w:rPr>
          <w:rFonts w:ascii="TH SarabunPSK" w:hAnsi="TH SarabunPSK" w:cs="TH SarabunPSK" w:hint="cs"/>
          <w:sz w:val="32"/>
          <w:szCs w:val="32"/>
          <w:cs/>
        </w:rPr>
        <w:br/>
      </w:r>
      <w:r w:rsidRPr="00F649B7">
        <w:rPr>
          <w:rFonts w:ascii="TH SarabunPSK" w:hAnsi="TH SarabunPSK" w:cs="TH SarabunPSK" w:hint="cs"/>
          <w:sz w:val="32"/>
          <w:szCs w:val="32"/>
        </w:rPr>
        <w:t>3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 มีความสามารถในการสนับสนุนผู้ใช้งาน (</w:t>
      </w:r>
      <w:r w:rsidRPr="00F649B7">
        <w:rPr>
          <w:rFonts w:ascii="TH SarabunPSK" w:hAnsi="TH SarabunPSK" w:cs="TH SarabunPSK" w:hint="cs"/>
          <w:sz w:val="32"/>
          <w:szCs w:val="32"/>
        </w:rPr>
        <w:t>User Support &amp; Helpdesk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</w:t>
      </w:r>
      <w:r w:rsidRPr="00F649B7">
        <w:rPr>
          <w:rFonts w:ascii="TH SarabunPSK" w:hAnsi="TH SarabunPSK" w:cs="TH SarabunPSK" w:hint="cs"/>
          <w:sz w:val="32"/>
          <w:szCs w:val="32"/>
        </w:rPr>
        <w:br/>
        <w:t>4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 สามารถเรียนรู้ตลอดเวลา (</w:t>
      </w:r>
      <w:r w:rsidRPr="00F649B7">
        <w:rPr>
          <w:rFonts w:ascii="TH SarabunPSK" w:hAnsi="TH SarabunPSK" w:cs="TH SarabunPSK" w:hint="cs"/>
          <w:sz w:val="32"/>
          <w:szCs w:val="32"/>
        </w:rPr>
        <w:t>Continuous Learning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</w:t>
      </w:r>
      <w:r w:rsidRPr="00F649B7">
        <w:rPr>
          <w:rFonts w:ascii="TH SarabunPSK" w:hAnsi="TH SarabunPSK" w:cs="TH SarabunPSK" w:hint="cs"/>
          <w:sz w:val="32"/>
          <w:szCs w:val="32"/>
        </w:rPr>
        <w:br/>
        <w:t>5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. มีความเข้าใจเรื่องความปลอดภัยและกฎหมายดิจิทัล (</w:t>
      </w:r>
      <w:r w:rsidRPr="00F649B7">
        <w:rPr>
          <w:rFonts w:ascii="TH SarabunPSK" w:hAnsi="TH SarabunPSK" w:cs="TH SarabunPSK" w:hint="cs"/>
          <w:sz w:val="32"/>
          <w:szCs w:val="32"/>
        </w:rPr>
        <w:t>Security &amp; Compliance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)</w:t>
      </w:r>
      <w:r w:rsidRPr="00F649B7">
        <w:rPr>
          <w:rFonts w:ascii="TH SarabunPSK" w:hAnsi="TH SarabunPSK" w:cs="TH SarabunPSK" w:hint="cs"/>
          <w:sz w:val="32"/>
          <w:szCs w:val="32"/>
        </w:rPr>
        <w:br/>
      </w:r>
      <w:r w:rsidRPr="00F649B7">
        <w:rPr>
          <w:rFonts w:ascii="TH SarabunPSK" w:hAnsi="TH SarabunPSK" w:cs="TH SarabunPSK" w:hint="cs"/>
          <w:sz w:val="32"/>
          <w:szCs w:val="32"/>
          <w:cs/>
        </w:rPr>
        <w:tab/>
        <w:t xml:space="preserve">ในปีการศึกษา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2568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นี้ มีบุคลากรรวม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14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โดยแบ่งตามระดับการศึกษาสูงสุดที่สำเร็จ ประกอบด้วย ปริญญาตรี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2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ปริญญาโท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10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 xml:space="preserve">คน และปริญญาเอก </w:t>
      </w:r>
      <w:r w:rsidRPr="00F649B7">
        <w:rPr>
          <w:rFonts w:ascii="TH SarabunPSK" w:hAnsi="TH SarabunPSK" w:cs="TH SarabunPSK" w:hint="cs"/>
          <w:sz w:val="32"/>
          <w:szCs w:val="32"/>
        </w:rPr>
        <w:t xml:space="preserve">2 </w:t>
      </w:r>
      <w:r w:rsidRPr="00F649B7">
        <w:rPr>
          <w:rFonts w:ascii="TH SarabunPSK" w:hAnsi="TH SarabunPSK" w:cs="TH SarabunPSK" w:hint="cs"/>
          <w:sz w:val="32"/>
          <w:szCs w:val="32"/>
          <w:cs/>
        </w:rPr>
        <w:t>คน</w:t>
      </w:r>
    </w:p>
    <w:p w14:paraId="4779B9D3" w14:textId="77777777" w:rsidR="00CF4556" w:rsidRPr="00F649B7" w:rsidRDefault="00CF4556" w:rsidP="00CF455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3DAA3AE" w14:textId="77777777" w:rsidR="00CF4556" w:rsidRPr="00F649B7" w:rsidRDefault="00CF4556" w:rsidP="00CF4556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649B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ตารางที่</w:t>
      </w:r>
      <w:r w:rsidRPr="00F649B7">
        <w:rPr>
          <w:rFonts w:ascii="TH SarabunPSK" w:hAnsi="TH SarabunPSK" w:cs="TH SarabunPSK" w:hint="cs"/>
          <w:b/>
          <w:bCs/>
          <w:color w:val="0070C0"/>
          <w:sz w:val="32"/>
          <w:szCs w:val="32"/>
        </w:rPr>
        <w:fldChar w:fldCharType="begin"/>
      </w:r>
      <w:r w:rsidRPr="00F649B7">
        <w:rPr>
          <w:rFonts w:ascii="TH SarabunPSK" w:hAnsi="TH SarabunPSK" w:cs="TH SarabunPSK" w:hint="cs"/>
          <w:b/>
          <w:bCs/>
          <w:color w:val="0070C0"/>
          <w:sz w:val="32"/>
          <w:szCs w:val="32"/>
        </w:rPr>
        <w:instrText xml:space="preserve"> MACROBUTTON  AcceptAllChangesInDoc </w:instrText>
      </w:r>
      <w:r w:rsidRPr="00F649B7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instrText xml:space="preserve">[คลิกพิมพ์] </w:instrText>
      </w:r>
      <w:r w:rsidRPr="00F649B7">
        <w:rPr>
          <w:rFonts w:ascii="TH SarabunPSK" w:hAnsi="TH SarabunPSK" w:cs="TH SarabunPSK" w:hint="cs"/>
          <w:b/>
          <w:bCs/>
          <w:color w:val="0070C0"/>
          <w:sz w:val="32"/>
          <w:szCs w:val="32"/>
        </w:rPr>
        <w:fldChar w:fldCharType="end"/>
      </w:r>
      <w:r w:rsidRPr="00F649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จำนวนและคุณวุฒิการศึกษาของเจ้าหน้าที่สนับสนุน (ณ วันที่</w:t>
      </w:r>
      <w:r w:rsidRPr="00F649B7">
        <w:rPr>
          <w:rFonts w:ascii="TH SarabunPSK" w:hAnsi="TH SarabunPSK" w:cs="TH SarabunPSK" w:hint="cs"/>
          <w:color w:val="808080" w:themeColor="background1" w:themeShade="80"/>
          <w:sz w:val="32"/>
          <w:szCs w:val="32"/>
          <w:cs/>
        </w:rPr>
        <w:t xml:space="preserve"> </w:t>
      </w:r>
      <w:r w:rsidRPr="00F649B7">
        <w:rPr>
          <w:rFonts w:ascii="TH SarabunPSK" w:hAnsi="TH SarabunPSK" w:cs="TH SarabunPSK" w:hint="cs"/>
          <w:color w:val="0070C0"/>
          <w:sz w:val="32"/>
          <w:szCs w:val="32"/>
        </w:rPr>
        <w:fldChar w:fldCharType="begin"/>
      </w:r>
      <w:r w:rsidRPr="00F649B7">
        <w:rPr>
          <w:rFonts w:ascii="TH SarabunPSK" w:hAnsi="TH SarabunPSK" w:cs="TH SarabunPSK" w:hint="cs"/>
          <w:color w:val="0070C0"/>
          <w:sz w:val="32"/>
          <w:szCs w:val="32"/>
        </w:rPr>
        <w:instrText xml:space="preserve"> MACROBUTTON  AcceptAllChangesInDoc </w:instrText>
      </w:r>
      <w:r w:rsidRPr="00F649B7">
        <w:rPr>
          <w:rFonts w:ascii="TH SarabunPSK" w:hAnsi="TH SarabunPSK" w:cs="TH SarabunPSK" w:hint="cs"/>
          <w:color w:val="0070C0"/>
          <w:sz w:val="32"/>
          <w:szCs w:val="32"/>
          <w:cs/>
        </w:rPr>
        <w:instrText xml:space="preserve">[คลิกพิมพ์] </w:instrText>
      </w:r>
      <w:r w:rsidRPr="00F649B7">
        <w:rPr>
          <w:rFonts w:ascii="TH SarabunPSK" w:hAnsi="TH SarabunPSK" w:cs="TH SarabunPSK" w:hint="cs"/>
          <w:color w:val="0070C0"/>
          <w:sz w:val="32"/>
          <w:szCs w:val="32"/>
        </w:rPr>
        <w:fldChar w:fldCharType="end"/>
      </w:r>
      <w:r w:rsidRPr="00F649B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</w:p>
    <w:tbl>
      <w:tblPr>
        <w:tblStyle w:val="TableGrid"/>
        <w:tblW w:w="9715" w:type="dxa"/>
        <w:tblLayout w:type="fixed"/>
        <w:tblLook w:val="04A0" w:firstRow="1" w:lastRow="0" w:firstColumn="1" w:lastColumn="0" w:noHBand="0" w:noVBand="1"/>
      </w:tblPr>
      <w:tblGrid>
        <w:gridCol w:w="4135"/>
        <w:gridCol w:w="1620"/>
        <w:gridCol w:w="990"/>
        <w:gridCol w:w="990"/>
        <w:gridCol w:w="990"/>
        <w:gridCol w:w="990"/>
      </w:tblGrid>
      <w:tr w:rsidR="00CF4556" w:rsidRPr="00F649B7" w14:paraId="3C1B6F3A" w14:textId="77777777" w:rsidTr="008F6241">
        <w:trPr>
          <w:tblHeader/>
        </w:trPr>
        <w:tc>
          <w:tcPr>
            <w:tcW w:w="4135" w:type="dxa"/>
            <w:vMerge w:val="restart"/>
            <w:shd w:val="clear" w:color="auto" w:fill="F4B083" w:themeFill="accent2" w:themeFillTint="99"/>
            <w:vAlign w:val="center"/>
          </w:tcPr>
          <w:p w14:paraId="15C5FD64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649B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เจ้าหน้าที่สนับสนุน</w:t>
            </w:r>
          </w:p>
        </w:tc>
        <w:tc>
          <w:tcPr>
            <w:tcW w:w="4590" w:type="dxa"/>
            <w:gridSpan w:val="4"/>
            <w:shd w:val="clear" w:color="auto" w:fill="F4B083" w:themeFill="accent2" w:themeFillTint="99"/>
            <w:vAlign w:val="center"/>
          </w:tcPr>
          <w:p w14:paraId="67969B20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649B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ระดับการศึกษาสูงสุดที่สำเร็จ (คน)</w:t>
            </w:r>
          </w:p>
        </w:tc>
        <w:tc>
          <w:tcPr>
            <w:tcW w:w="990" w:type="dxa"/>
            <w:vMerge w:val="restart"/>
            <w:shd w:val="clear" w:color="auto" w:fill="F4B083" w:themeFill="accent2" w:themeFillTint="99"/>
            <w:vAlign w:val="center"/>
          </w:tcPr>
          <w:p w14:paraId="17CA0480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649B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รวม (คน)</w:t>
            </w:r>
          </w:p>
        </w:tc>
      </w:tr>
      <w:tr w:rsidR="00CF4556" w:rsidRPr="00F649B7" w14:paraId="0E590401" w14:textId="77777777" w:rsidTr="008F6241">
        <w:tc>
          <w:tcPr>
            <w:tcW w:w="4135" w:type="dxa"/>
            <w:vMerge/>
            <w:shd w:val="clear" w:color="auto" w:fill="F4B083" w:themeFill="accent2" w:themeFillTint="99"/>
            <w:vAlign w:val="center"/>
          </w:tcPr>
          <w:p w14:paraId="0386DDEA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620" w:type="dxa"/>
            <w:shd w:val="clear" w:color="auto" w:fill="F4B083" w:themeFill="accent2" w:themeFillTint="99"/>
            <w:vAlign w:val="center"/>
          </w:tcPr>
          <w:p w14:paraId="67FC0550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649B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ต่ำกว่าปริญญาตรี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4A64CDD1" w14:textId="77777777" w:rsidR="00CF4556" w:rsidRPr="00F649B7" w:rsidRDefault="00CF4556" w:rsidP="008F6241">
            <w:pPr>
              <w:ind w:left="-106" w:right="-112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649B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ปริญญาตรี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18389927" w14:textId="77777777" w:rsidR="00CF4556" w:rsidRPr="00F649B7" w:rsidRDefault="00CF4556" w:rsidP="008F6241">
            <w:pPr>
              <w:ind w:left="-112" w:right="-106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649B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ปริญญาโท</w:t>
            </w:r>
          </w:p>
        </w:tc>
        <w:tc>
          <w:tcPr>
            <w:tcW w:w="990" w:type="dxa"/>
            <w:shd w:val="clear" w:color="auto" w:fill="F4B083" w:themeFill="accent2" w:themeFillTint="99"/>
            <w:vAlign w:val="center"/>
          </w:tcPr>
          <w:p w14:paraId="4E5838EC" w14:textId="77777777" w:rsidR="00CF4556" w:rsidRPr="00F649B7" w:rsidRDefault="00CF4556" w:rsidP="008F6241">
            <w:pPr>
              <w:ind w:left="-103" w:right="-115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649B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ปริญญาเอก</w:t>
            </w:r>
          </w:p>
        </w:tc>
        <w:tc>
          <w:tcPr>
            <w:tcW w:w="990" w:type="dxa"/>
            <w:vMerge/>
            <w:shd w:val="clear" w:color="auto" w:fill="F4B083" w:themeFill="accent2" w:themeFillTint="99"/>
            <w:vAlign w:val="center"/>
          </w:tcPr>
          <w:p w14:paraId="298C81B7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  <w:tr w:rsidR="00CF4556" w:rsidRPr="00F649B7" w14:paraId="709248E6" w14:textId="77777777" w:rsidTr="008F6241">
        <w:tc>
          <w:tcPr>
            <w:tcW w:w="4135" w:type="dxa"/>
          </w:tcPr>
          <w:p w14:paraId="07FB4886" w14:textId="77777777" w:rsidR="00CF4556" w:rsidRPr="00F649B7" w:rsidRDefault="00CF4556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เจ้าหน้าที่ศูนย์บริการทางวิชาการ </w:t>
            </w:r>
          </w:p>
          <w:p w14:paraId="4E19EBF5" w14:textId="77777777" w:rsidR="00CF4556" w:rsidRPr="00F649B7" w:rsidRDefault="00CF4556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649B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ระบุสมรรถนะ บทบาทและหน้าที่ ประจำตำแหน่งโดยรวม</w:t>
            </w:r>
          </w:p>
          <w:p w14:paraId="537E0772" w14:textId="77777777" w:rsidR="00CF4556" w:rsidRPr="00F649B7" w:rsidRDefault="00CF4556" w:rsidP="008F624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t>1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F649B7">
              <w:rPr>
                <w:rFonts w:ascii="TH SarabunPSK" w:hAnsi="TH SarabunPSK" w:cs="TH SarabunPSK" w:hint="cs"/>
                <w:szCs w:val="22"/>
                <w:cs/>
              </w:rPr>
              <w:t xml:space="preserve"> 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มีความรู้ความเข้าใจในการใช้เครื่องมืออุปกรณ์ (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t>Digital Tools for Work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  <w:p w14:paraId="24F07A68" w14:textId="77777777" w:rsidR="00CF4556" w:rsidRPr="00F649B7" w:rsidRDefault="00CF4556" w:rsidP="008F624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2. การรู้เท่าทันและบริหารจัดการสารสนเทศ (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t>Information &amp; Digital Literacy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t>3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มีความสามารถในการสนับสนุนผู้ใช้งาน 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(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t>User Support &amp; Helpdesk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br/>
              <w:t>4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. สามารถเรียนรู้ตลอดเวลา (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t>Continuous Learning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br/>
              <w:t>5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. มีความเข้าใจเรื่องความปลอดภัยและกฎหมายดิจิทัล (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</w:rPr>
              <w:t>Security &amp; Compliance</w:t>
            </w:r>
            <w:r w:rsidRPr="00F649B7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3894A107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49B7">
              <w:rPr>
                <w:rFonts w:ascii="TH SarabunPSK" w:hAnsi="TH SarabunPSK" w:cs="TH SarabunPSK" w:hint="cs"/>
                <w:sz w:val="28"/>
              </w:rPr>
              <w:lastRenderedPageBreak/>
              <w:t>0</w:t>
            </w:r>
          </w:p>
        </w:tc>
        <w:tc>
          <w:tcPr>
            <w:tcW w:w="990" w:type="dxa"/>
          </w:tcPr>
          <w:p w14:paraId="38F25AB1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49B7">
              <w:rPr>
                <w:rFonts w:ascii="TH SarabunPSK" w:hAnsi="TH SarabunPSK" w:cs="TH SarabunPSK" w:hint="cs"/>
                <w:sz w:val="28"/>
              </w:rPr>
              <w:t>2</w:t>
            </w:r>
          </w:p>
        </w:tc>
        <w:tc>
          <w:tcPr>
            <w:tcW w:w="990" w:type="dxa"/>
          </w:tcPr>
          <w:p w14:paraId="448E0746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49B7">
              <w:rPr>
                <w:rFonts w:ascii="TH SarabunPSK" w:hAnsi="TH SarabunPSK" w:cs="TH SarabunPSK" w:hint="cs"/>
                <w:sz w:val="28"/>
              </w:rPr>
              <w:t>10</w:t>
            </w:r>
          </w:p>
        </w:tc>
        <w:tc>
          <w:tcPr>
            <w:tcW w:w="990" w:type="dxa"/>
          </w:tcPr>
          <w:p w14:paraId="17B9F381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49B7">
              <w:rPr>
                <w:rFonts w:ascii="TH SarabunPSK" w:hAnsi="TH SarabunPSK" w:cs="TH SarabunPSK" w:hint="cs"/>
                <w:sz w:val="28"/>
              </w:rPr>
              <w:t>2</w:t>
            </w:r>
          </w:p>
        </w:tc>
        <w:tc>
          <w:tcPr>
            <w:tcW w:w="990" w:type="dxa"/>
          </w:tcPr>
          <w:p w14:paraId="53BF64FE" w14:textId="77777777" w:rsidR="00CF4556" w:rsidRPr="00F649B7" w:rsidRDefault="00CF4556" w:rsidP="008F624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F649B7">
              <w:rPr>
                <w:rFonts w:ascii="TH SarabunPSK" w:hAnsi="TH SarabunPSK" w:cs="TH SarabunPSK" w:hint="cs"/>
                <w:sz w:val="28"/>
              </w:rPr>
              <w:t>14</w:t>
            </w:r>
          </w:p>
        </w:tc>
      </w:tr>
    </w:tbl>
    <w:p w14:paraId="37039D96" w14:textId="77777777" w:rsidR="00CF4556" w:rsidRPr="00F649B7" w:rsidRDefault="00CF4556" w:rsidP="00CF4556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0C14B0D" w14:textId="77777777" w:rsidR="00CF4556" w:rsidRPr="005906D3" w:rsidRDefault="00CF4556" w:rsidP="00CF455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p w14:paraId="55BC5359" w14:textId="30C63C09" w:rsidR="00550C13" w:rsidRPr="00A31C92" w:rsidRDefault="00A31C92" w:rsidP="00A31C92">
      <w:pPr>
        <w:pStyle w:val="ListParagraph"/>
        <w:numPr>
          <w:ilvl w:val="0"/>
          <w:numId w:val="1"/>
        </w:numPr>
      </w:pPr>
      <w:hyperlink r:id="rId5" w:history="1">
        <w:r w:rsidR="00CF4556" w:rsidRPr="00A31C92">
          <w:rPr>
            <w:rStyle w:val="Hyperlink"/>
            <w:rFonts w:ascii="TH SarabunPSK" w:hAnsi="TH SarabunPSK" w:cs="TH SarabunPSK"/>
            <w:sz w:val="32"/>
            <w:szCs w:val="32"/>
            <w:cs/>
          </w:rPr>
          <w:t>ศบว.</w:t>
        </w:r>
        <w:r w:rsidR="00CF4556" w:rsidRPr="00A31C9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CF4556" w:rsidRPr="00A31C92">
          <w:rPr>
            <w:rStyle w:val="Hyperlink"/>
            <w:rFonts w:ascii="TH SarabunPSK" w:hAnsi="TH SarabunPSK" w:cs="TH SarabunPSK"/>
            <w:sz w:val="32"/>
            <w:szCs w:val="32"/>
            <w:cs/>
          </w:rPr>
          <w:t>6.5.01   แผนการบริหารและแผนพัฒนาบุคลากรในงานบริการเพื่อสนับสนุนผู้เรียน</w:t>
        </w:r>
      </w:hyperlink>
    </w:p>
    <w:sectPr w:rsidR="00550C13" w:rsidRPr="00A31C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A1443"/>
    <w:multiLevelType w:val="hybridMultilevel"/>
    <w:tmpl w:val="24F07348"/>
    <w:lvl w:ilvl="0" w:tplc="B1629DD2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550C13"/>
    <w:rsid w:val="00A31C92"/>
    <w:rsid w:val="00CF4556"/>
    <w:rsid w:val="00FB3437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F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1C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1C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C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qa.rsu.ac.th/dbs/aun-qa/u/2568/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2026-07-03T08:58:00Z</dcterms:created>
  <dcterms:modified xsi:type="dcterms:W3CDTF">2026-07-15T15:22:00Z</dcterms:modified>
</cp:coreProperties>
</file>